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F3D932" w14:textId="77777777" w:rsidR="00817FFD" w:rsidRPr="00817FFD" w:rsidRDefault="00817FFD" w:rsidP="00817FFD">
      <w:pPr>
        <w:pStyle w:val="NormalWeb"/>
        <w:shd w:val="clear" w:color="auto" w:fill="FFFFFF"/>
        <w:spacing w:before="0" w:beforeAutospacing="0" w:after="240" w:afterAutospacing="0"/>
        <w:jc w:val="both"/>
        <w:textAlignment w:val="baseline"/>
        <w:rPr>
          <w:b/>
          <w:bCs/>
          <w:color w:val="000000"/>
          <w:sz w:val="28"/>
          <w:szCs w:val="28"/>
          <w:shd w:val="clear" w:color="auto" w:fill="FFFFFF"/>
        </w:rPr>
      </w:pPr>
      <w:r w:rsidRPr="00817FFD">
        <w:rPr>
          <w:b/>
          <w:bCs/>
          <w:color w:val="000000"/>
          <w:sz w:val="28"/>
          <w:szCs w:val="28"/>
          <w:shd w:val="clear" w:color="auto" w:fill="FFFFFF"/>
        </w:rPr>
        <w:t>Combattre pour l'honneur, 13 batailles héroïques</w:t>
      </w:r>
    </w:p>
    <w:p w14:paraId="556D0712" w14:textId="70A334BF" w:rsidR="00817FFD" w:rsidRPr="00817FFD" w:rsidRDefault="00817FFD" w:rsidP="00817FFD">
      <w:pPr>
        <w:pStyle w:val="NormalWeb"/>
        <w:shd w:val="clear" w:color="auto" w:fill="FFFFFF"/>
        <w:spacing w:before="0" w:beforeAutospacing="0" w:after="240" w:afterAutospacing="0"/>
        <w:jc w:val="both"/>
        <w:textAlignment w:val="baseline"/>
        <w:rPr>
          <w:b/>
          <w:bCs/>
          <w:i/>
          <w:iCs/>
          <w:sz w:val="28"/>
          <w:szCs w:val="28"/>
        </w:rPr>
      </w:pPr>
      <w:r w:rsidRPr="00817FFD">
        <w:rPr>
          <w:b/>
          <w:bCs/>
          <w:color w:val="000000"/>
          <w:sz w:val="28"/>
          <w:szCs w:val="28"/>
          <w:shd w:val="clear" w:color="auto" w:fill="FFFFFF"/>
        </w:rPr>
        <w:t>P</w:t>
      </w:r>
      <w:r w:rsidRPr="00817FFD">
        <w:rPr>
          <w:b/>
          <w:bCs/>
          <w:color w:val="000000"/>
          <w:sz w:val="28"/>
          <w:szCs w:val="28"/>
          <w:shd w:val="clear" w:color="auto" w:fill="FFFFFF"/>
        </w:rPr>
        <w:t>ar Michel Vial.</w:t>
      </w:r>
      <w:r w:rsidRPr="00817FFD">
        <w:rPr>
          <w:b/>
          <w:bCs/>
          <w:i/>
          <w:iCs/>
          <w:sz w:val="28"/>
          <w:szCs w:val="28"/>
        </w:rPr>
        <w:t xml:space="preserve"> </w:t>
      </w:r>
    </w:p>
    <w:p w14:paraId="0616147F" w14:textId="330EAF6F" w:rsidR="00817FFD" w:rsidRDefault="00817FFD" w:rsidP="00817FFD">
      <w:pPr>
        <w:pStyle w:val="NormalWeb"/>
        <w:shd w:val="clear" w:color="auto" w:fill="FFFFFF"/>
        <w:spacing w:before="0" w:beforeAutospacing="0" w:after="240" w:afterAutospacing="0"/>
        <w:jc w:val="both"/>
        <w:textAlignment w:val="baseline"/>
      </w:pPr>
      <w:r w:rsidRPr="00817FFD">
        <w:rPr>
          <w:i/>
          <w:iCs/>
        </w:rPr>
        <w:t>Alamo, Sidi-Brahim, Camerone, Bazeilles, le fort de Vaux, l’</w:t>
      </w:r>
      <w:proofErr w:type="spellStart"/>
      <w:r w:rsidRPr="00817FFD">
        <w:rPr>
          <w:i/>
          <w:iCs/>
        </w:rPr>
        <w:t>Alcázar</w:t>
      </w:r>
      <w:proofErr w:type="spellEnd"/>
      <w:r w:rsidRPr="00817FFD">
        <w:rPr>
          <w:i/>
          <w:iCs/>
        </w:rPr>
        <w:t xml:space="preserve"> de Tolède, </w:t>
      </w:r>
      <w:proofErr w:type="spellStart"/>
      <w:r w:rsidRPr="00817FFD">
        <w:rPr>
          <w:i/>
          <w:iCs/>
        </w:rPr>
        <w:t>Westerplatte</w:t>
      </w:r>
      <w:proofErr w:type="spellEnd"/>
      <w:r w:rsidRPr="00817FFD">
        <w:rPr>
          <w:i/>
          <w:iCs/>
        </w:rPr>
        <w:t xml:space="preserve">, </w:t>
      </w:r>
      <w:proofErr w:type="spellStart"/>
      <w:r w:rsidRPr="00817FFD">
        <w:rPr>
          <w:i/>
          <w:iCs/>
        </w:rPr>
        <w:t>Wizna</w:t>
      </w:r>
      <w:proofErr w:type="spellEnd"/>
      <w:r w:rsidRPr="00817FFD">
        <w:rPr>
          <w:i/>
          <w:iCs/>
        </w:rPr>
        <w:t xml:space="preserve">, Saumur, </w:t>
      </w:r>
      <w:proofErr w:type="spellStart"/>
      <w:r w:rsidRPr="00817FFD">
        <w:rPr>
          <w:i/>
          <w:iCs/>
        </w:rPr>
        <w:t>Bir-Hakeim</w:t>
      </w:r>
      <w:proofErr w:type="spellEnd"/>
      <w:r w:rsidRPr="00817FFD">
        <w:rPr>
          <w:i/>
          <w:iCs/>
        </w:rPr>
        <w:t xml:space="preserve">, Les Glières, Iwo </w:t>
      </w:r>
      <w:proofErr w:type="spellStart"/>
      <w:r w:rsidRPr="00817FFD">
        <w:rPr>
          <w:i/>
          <w:iCs/>
        </w:rPr>
        <w:t>Jima</w:t>
      </w:r>
      <w:proofErr w:type="spellEnd"/>
      <w:r w:rsidRPr="00817FFD">
        <w:rPr>
          <w:i/>
          <w:iCs/>
        </w:rPr>
        <w:t xml:space="preserve">, </w:t>
      </w:r>
      <w:proofErr w:type="spellStart"/>
      <w:r w:rsidRPr="00817FFD">
        <w:rPr>
          <w:i/>
          <w:iCs/>
        </w:rPr>
        <w:t>Diên</w:t>
      </w:r>
      <w:proofErr w:type="spellEnd"/>
      <w:r w:rsidRPr="00817FFD">
        <w:rPr>
          <w:i/>
          <w:iCs/>
        </w:rPr>
        <w:t xml:space="preserve"> </w:t>
      </w:r>
      <w:proofErr w:type="spellStart"/>
      <w:r w:rsidRPr="00817FFD">
        <w:rPr>
          <w:i/>
          <w:iCs/>
        </w:rPr>
        <w:t>Biên</w:t>
      </w:r>
      <w:proofErr w:type="spellEnd"/>
      <w:r w:rsidRPr="00817FFD">
        <w:rPr>
          <w:i/>
          <w:iCs/>
        </w:rPr>
        <w:t xml:space="preserve"> Phu</w:t>
      </w:r>
      <w:r w:rsidRPr="00817FFD">
        <w:t xml:space="preserve"> </w:t>
      </w:r>
    </w:p>
    <w:p w14:paraId="244DAE58" w14:textId="568A4D0E" w:rsidR="00817FFD" w:rsidRPr="00817FFD" w:rsidRDefault="00817FFD" w:rsidP="00817FFD">
      <w:pPr>
        <w:pStyle w:val="NormalWeb"/>
        <w:shd w:val="clear" w:color="auto" w:fill="FFFFFF"/>
        <w:spacing w:before="0" w:beforeAutospacing="0" w:after="240" w:afterAutospacing="0"/>
        <w:jc w:val="both"/>
        <w:textAlignment w:val="baseline"/>
      </w:pPr>
      <w:r w:rsidRPr="00817FFD">
        <w:t>Qu’ont en commun A</w:t>
      </w:r>
      <w:proofErr w:type="spellStart"/>
      <w:r w:rsidRPr="00092DA5">
        <w:rPr>
          <w:lang w:val="en-US"/>
        </w:rPr>
        <w:t>lamo</w:t>
      </w:r>
      <w:proofErr w:type="spellEnd"/>
      <w:r w:rsidRPr="00092DA5">
        <w:rPr>
          <w:lang w:val="en-US"/>
        </w:rPr>
        <w:t xml:space="preserve">, </w:t>
      </w:r>
      <w:proofErr w:type="spellStart"/>
      <w:r w:rsidRPr="00092DA5">
        <w:rPr>
          <w:lang w:val="en-US"/>
        </w:rPr>
        <w:t>Camerone</w:t>
      </w:r>
      <w:proofErr w:type="spellEnd"/>
      <w:r w:rsidRPr="00092DA5">
        <w:rPr>
          <w:lang w:val="en-US"/>
        </w:rPr>
        <w:t xml:space="preserve">, Iwo Jima </w:t>
      </w:r>
      <w:proofErr w:type="spellStart"/>
      <w:r w:rsidRPr="00092DA5">
        <w:rPr>
          <w:lang w:val="en-US"/>
        </w:rPr>
        <w:t>ou</w:t>
      </w:r>
      <w:proofErr w:type="spellEnd"/>
      <w:r w:rsidRPr="00092DA5">
        <w:rPr>
          <w:lang w:val="en-US"/>
        </w:rPr>
        <w:t xml:space="preserve"> Bir-</w:t>
      </w:r>
      <w:proofErr w:type="spellStart"/>
      <w:r w:rsidRPr="00092DA5">
        <w:rPr>
          <w:lang w:val="en-US"/>
        </w:rPr>
        <w:t>Hakeim</w:t>
      </w:r>
      <w:proofErr w:type="spellEnd"/>
      <w:r w:rsidRPr="00092DA5">
        <w:rPr>
          <w:lang w:val="en-US"/>
        </w:rPr>
        <w:t xml:space="preserve"> ? </w:t>
      </w:r>
      <w:r w:rsidRPr="00817FFD">
        <w:t>La détermination des défenseurs qui affrontent sans faiblir un adversaire numériquement et matériellement très supérieur. Encerclés et assaillis par celui-ci, ils savent que l’issue du combat ne peut que leur être défavorable, et pourtant, ils lui opposent une résistance acharnée qui témoigne d’une conception de l’honneur qui n’appartient qu’aux meilleurs soldats.</w:t>
      </w:r>
    </w:p>
    <w:p w14:paraId="53261FBD" w14:textId="77777777" w:rsidR="00817FFD" w:rsidRPr="00817FFD" w:rsidRDefault="00817FFD" w:rsidP="00817FFD">
      <w:pPr>
        <w:pStyle w:val="NormalWeb"/>
        <w:shd w:val="clear" w:color="auto" w:fill="FFFFFF"/>
        <w:spacing w:before="0" w:beforeAutospacing="0" w:after="240" w:afterAutospacing="0"/>
        <w:jc w:val="both"/>
        <w:textAlignment w:val="baseline"/>
      </w:pPr>
      <w:r w:rsidRPr="00817FFD">
        <w:t xml:space="preserve">À travers treize batailles, l’auteur démontre la valeur emblématique du combat </w:t>
      </w:r>
      <w:proofErr w:type="spellStart"/>
      <w:r w:rsidRPr="00817FFD">
        <w:t>sacriﬁciel</w:t>
      </w:r>
      <w:proofErr w:type="spellEnd"/>
      <w:r w:rsidRPr="00817FFD">
        <w:t xml:space="preserve">, de la « défaite héroïque ». Les batailles décrites dans cet ouvrage ont en commun de revêtir une valeur exemplaire très élevée qui les immortalise en les inscrivant, de façon </w:t>
      </w:r>
      <w:proofErr w:type="spellStart"/>
      <w:r w:rsidRPr="00817FFD">
        <w:t>déﬁnitive</w:t>
      </w:r>
      <w:proofErr w:type="spellEnd"/>
      <w:r w:rsidRPr="00817FFD">
        <w:t>, non seulement dans l’histoire militaire, mais aussi dans l’Histoire tout court. L’exemple de ces combattants qui, à la reddition, préfèrent une mort héroïque, galvanise les générations suivantes et participe à l’écriture du roman national.</w:t>
      </w:r>
    </w:p>
    <w:p w14:paraId="59F51EFC" w14:textId="11F0158C" w:rsidR="00817FFD" w:rsidRDefault="00817FFD" w:rsidP="00817FFD">
      <w:pPr>
        <w:spacing w:after="0"/>
        <w:jc w:val="both"/>
        <w:rPr>
          <w:rFonts w:ascii="Times New Roman" w:hAnsi="Times New Roman" w:cs="Times New Roman"/>
          <w:sz w:val="24"/>
          <w:szCs w:val="24"/>
        </w:rPr>
      </w:pPr>
      <w:r>
        <w:rPr>
          <w:rFonts w:ascii="Times New Roman" w:hAnsi="Times New Roman" w:cs="Times New Roman"/>
          <w:sz w:val="24"/>
          <w:szCs w:val="24"/>
        </w:rPr>
        <w:t>Vous pouvez commander cet ouvrage, publié en 20</w:t>
      </w:r>
      <w:r>
        <w:rPr>
          <w:rFonts w:ascii="Times New Roman" w:hAnsi="Times New Roman" w:cs="Times New Roman"/>
          <w:sz w:val="24"/>
          <w:szCs w:val="24"/>
        </w:rPr>
        <w:t>23</w:t>
      </w:r>
      <w:r>
        <w:rPr>
          <w:rFonts w:ascii="Times New Roman" w:hAnsi="Times New Roman" w:cs="Times New Roman"/>
          <w:sz w:val="24"/>
          <w:szCs w:val="24"/>
        </w:rPr>
        <w:t>, directement à la maison d’édition.</w:t>
      </w:r>
    </w:p>
    <w:p w14:paraId="2BB29957" w14:textId="77777777" w:rsidR="00817FFD" w:rsidRDefault="00817FFD" w:rsidP="00817FFD">
      <w:pPr>
        <w:spacing w:after="0"/>
        <w:rPr>
          <w:rFonts w:ascii="Times New Roman" w:hAnsi="Times New Roman" w:cs="Times New Roman"/>
          <w:b/>
          <w:bCs/>
          <w:sz w:val="24"/>
          <w:szCs w:val="24"/>
        </w:rPr>
      </w:pPr>
      <w:r>
        <w:rPr>
          <w:rFonts w:ascii="Times New Roman" w:hAnsi="Times New Roman" w:cs="Times New Roman"/>
          <w:b/>
          <w:bCs/>
          <w:sz w:val="24"/>
          <w:szCs w:val="24"/>
        </w:rPr>
        <w:t>Editions : Histoire &amp; Collections</w:t>
      </w:r>
      <w:r>
        <w:rPr>
          <w:rFonts w:ascii="Times New Roman" w:hAnsi="Times New Roman" w:cs="Times New Roman"/>
          <w:sz w:val="24"/>
          <w:szCs w:val="24"/>
        </w:rPr>
        <w:t xml:space="preserve">, 5 Avenue de la République, 75011 PARIS, </w:t>
      </w:r>
      <w:hyperlink r:id="rId4" w:history="1">
        <w:r>
          <w:rPr>
            <w:rStyle w:val="Lienhypertexte"/>
            <w:rFonts w:ascii="Times New Roman" w:hAnsi="Times New Roman" w:cs="Times New Roman"/>
            <w:b/>
            <w:bCs/>
            <w:sz w:val="24"/>
            <w:szCs w:val="24"/>
          </w:rPr>
          <w:t>www.histoireetcollections.com</w:t>
        </w:r>
      </w:hyperlink>
    </w:p>
    <w:p w14:paraId="7DB178BE" w14:textId="0396D9B2" w:rsidR="00817FFD" w:rsidRDefault="00817FFD" w:rsidP="00817FFD">
      <w:pPr>
        <w:spacing w:after="0"/>
        <w:rPr>
          <w:rFonts w:ascii="Times New Roman" w:hAnsi="Times New Roman" w:cs="Times New Roman"/>
          <w:b/>
          <w:bCs/>
          <w:sz w:val="24"/>
          <w:szCs w:val="24"/>
        </w:rPr>
      </w:pPr>
      <w:r>
        <w:rPr>
          <w:rFonts w:ascii="Times New Roman" w:hAnsi="Times New Roman" w:cs="Times New Roman"/>
          <w:b/>
          <w:bCs/>
          <w:sz w:val="24"/>
          <w:szCs w:val="24"/>
        </w:rPr>
        <w:t>Prix : 2</w:t>
      </w:r>
      <w:r>
        <w:rPr>
          <w:rFonts w:ascii="Times New Roman" w:hAnsi="Times New Roman" w:cs="Times New Roman"/>
          <w:b/>
          <w:bCs/>
          <w:sz w:val="24"/>
          <w:szCs w:val="24"/>
        </w:rPr>
        <w:t>2</w:t>
      </w:r>
      <w:r>
        <w:rPr>
          <w:rFonts w:ascii="Times New Roman" w:hAnsi="Times New Roman" w:cs="Times New Roman"/>
          <w:b/>
          <w:bCs/>
          <w:sz w:val="24"/>
          <w:szCs w:val="24"/>
        </w:rPr>
        <w:t xml:space="preserve"> € + 7 € de frais de port (pour France métropolitaine).</w:t>
      </w:r>
    </w:p>
    <w:p w14:paraId="789C7138" w14:textId="1C71FE92" w:rsidR="00817FFD" w:rsidRPr="00817FFD" w:rsidRDefault="00817FFD" w:rsidP="00817FFD">
      <w:pPr>
        <w:pStyle w:val="NormalWeb"/>
        <w:shd w:val="clear" w:color="auto" w:fill="FFFFFF"/>
        <w:spacing w:before="0" w:beforeAutospacing="0" w:after="240" w:afterAutospacing="0"/>
        <w:jc w:val="both"/>
        <w:textAlignment w:val="baseline"/>
      </w:pPr>
    </w:p>
    <w:p w14:paraId="577D6E8A" w14:textId="77777777" w:rsidR="00154056" w:rsidRPr="00817FFD" w:rsidRDefault="00154056">
      <w:pPr>
        <w:rPr>
          <w:rFonts w:ascii="Times New Roman" w:hAnsi="Times New Roman" w:cs="Times New Roman"/>
          <w:sz w:val="24"/>
          <w:szCs w:val="24"/>
        </w:rPr>
      </w:pPr>
    </w:p>
    <w:sectPr w:rsidR="00154056" w:rsidRPr="00817FF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FFD"/>
    <w:rsid w:val="00092DA5"/>
    <w:rsid w:val="000B20D0"/>
    <w:rsid w:val="00154056"/>
    <w:rsid w:val="004364B9"/>
    <w:rsid w:val="004828B9"/>
    <w:rsid w:val="00817FFD"/>
    <w:rsid w:val="00B34C6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9F6E29"/>
  <w15:chartTrackingRefBased/>
  <w15:docId w15:val="{0F6C7D8A-36C9-45A0-977B-2111BA7086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817FFD"/>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ienhypertexte">
    <w:name w:val="Hyperlink"/>
    <w:basedOn w:val="Policepardfaut"/>
    <w:uiPriority w:val="99"/>
    <w:semiHidden/>
    <w:unhideWhenUsed/>
    <w:rsid w:val="00817FF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9280213">
      <w:bodyDiv w:val="1"/>
      <w:marLeft w:val="0"/>
      <w:marRight w:val="0"/>
      <w:marTop w:val="0"/>
      <w:marBottom w:val="0"/>
      <w:divBdr>
        <w:top w:val="none" w:sz="0" w:space="0" w:color="auto"/>
        <w:left w:val="none" w:sz="0" w:space="0" w:color="auto"/>
        <w:bottom w:val="none" w:sz="0" w:space="0" w:color="auto"/>
        <w:right w:val="none" w:sz="0" w:space="0" w:color="auto"/>
      </w:divBdr>
    </w:div>
    <w:div w:id="1209954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histoireetcollections.com"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237</Words>
  <Characters>1242</Characters>
  <Application>Microsoft Office Word</Application>
  <DocSecurity>0</DocSecurity>
  <Lines>17</Lines>
  <Paragraphs>1</Paragraphs>
  <ScaleCrop>false</ScaleCrop>
  <Company/>
  <LinksUpToDate>false</LinksUpToDate>
  <CharactersWithSpaces>1478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 VIAL</dc:creator>
  <cp:keywords/>
  <dc:description/>
  <cp:lastModifiedBy>Michel VIAL</cp:lastModifiedBy>
  <cp:revision>2</cp:revision>
  <dcterms:created xsi:type="dcterms:W3CDTF">2023-04-25T13:36:00Z</dcterms:created>
  <dcterms:modified xsi:type="dcterms:W3CDTF">2023-04-25T13:36:00Z</dcterms:modified>
</cp:coreProperties>
</file>